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76E16" w:rsidRPr="00F76E16" w:rsidRDefault="00F76E16" w:rsidP="00F76E16">
      <w:pPr>
        <w:spacing w:line="480" w:lineRule="auto"/>
        <w:jc w:val="center"/>
        <w:rPr>
          <w:rFonts w:ascii="Times New Roman" w:hAnsi="Times New Roman" w:cs="Times New Roman"/>
          <w:b/>
          <w:sz w:val="24"/>
          <w:szCs w:val="24"/>
        </w:rPr>
      </w:pPr>
      <w:r w:rsidRPr="00F76E16">
        <w:rPr>
          <w:rFonts w:ascii="Times New Roman" w:hAnsi="Times New Roman" w:cs="Times New Roman"/>
          <w:b/>
          <w:sz w:val="24"/>
          <w:szCs w:val="24"/>
        </w:rPr>
        <w:t>ABLEKUMA CENTRAL MUNICIPAL ASSEMBLY</w:t>
      </w:r>
    </w:p>
    <w:p w:rsidR="00F76E16" w:rsidRPr="00F76E16" w:rsidRDefault="00F76E16" w:rsidP="00F76E16">
      <w:pPr>
        <w:spacing w:line="480" w:lineRule="auto"/>
        <w:jc w:val="center"/>
        <w:rPr>
          <w:rFonts w:ascii="Times New Roman" w:hAnsi="Times New Roman" w:cs="Times New Roman"/>
          <w:b/>
          <w:sz w:val="24"/>
          <w:szCs w:val="24"/>
        </w:rPr>
      </w:pPr>
      <w:r w:rsidRPr="00F76E16">
        <w:rPr>
          <w:rFonts w:ascii="Times New Roman" w:hAnsi="Times New Roman" w:cs="Times New Roman"/>
          <w:b/>
          <w:sz w:val="24"/>
          <w:szCs w:val="24"/>
        </w:rPr>
        <w:t>ENVIRONMENTAL HEALTH AND SANITATION UNIT</w:t>
      </w:r>
    </w:p>
    <w:p w:rsidR="004469E4" w:rsidRPr="00F76E16" w:rsidRDefault="00F76E16" w:rsidP="00F76E16">
      <w:pPr>
        <w:spacing w:line="480" w:lineRule="auto"/>
        <w:jc w:val="center"/>
        <w:rPr>
          <w:rFonts w:ascii="Times New Roman" w:hAnsi="Times New Roman" w:cs="Times New Roman"/>
          <w:b/>
          <w:sz w:val="24"/>
          <w:szCs w:val="24"/>
        </w:rPr>
      </w:pPr>
      <w:r w:rsidRPr="00F76E16">
        <w:rPr>
          <w:rFonts w:ascii="Times New Roman" w:hAnsi="Times New Roman" w:cs="Times New Roman"/>
          <w:b/>
          <w:sz w:val="24"/>
          <w:szCs w:val="24"/>
        </w:rPr>
        <w:t>REPORT ON TRAINING AND EDUCATION CARRIED OUT ON MANAGEMENT OF BIOMEDICAL WASTE IN HEALTH FACILITIES FOR HEALTH CARE PROVIDERS ON 20</w:t>
      </w:r>
      <w:r w:rsidRPr="00F76E16">
        <w:rPr>
          <w:rFonts w:ascii="Times New Roman" w:hAnsi="Times New Roman" w:cs="Times New Roman"/>
          <w:b/>
          <w:sz w:val="24"/>
          <w:szCs w:val="24"/>
          <w:vertAlign w:val="superscript"/>
        </w:rPr>
        <w:t>TH</w:t>
      </w:r>
      <w:r w:rsidRPr="00F76E16">
        <w:rPr>
          <w:rFonts w:ascii="Times New Roman" w:hAnsi="Times New Roman" w:cs="Times New Roman"/>
          <w:b/>
          <w:sz w:val="24"/>
          <w:szCs w:val="24"/>
        </w:rPr>
        <w:t xml:space="preserve"> OF SEPTEMBER, 2024</w:t>
      </w:r>
    </w:p>
    <w:p w:rsidR="004469E4" w:rsidRPr="00AA629D" w:rsidRDefault="00AA629D" w:rsidP="00AA629D">
      <w:pPr>
        <w:spacing w:line="480" w:lineRule="auto"/>
        <w:rPr>
          <w:rFonts w:ascii="Times New Roman" w:hAnsi="Times New Roman" w:cs="Times New Roman"/>
          <w:b/>
          <w:sz w:val="24"/>
          <w:szCs w:val="24"/>
        </w:rPr>
      </w:pPr>
      <w:r w:rsidRPr="00AA629D">
        <w:rPr>
          <w:rFonts w:ascii="Times New Roman" w:hAnsi="Times New Roman" w:cs="Times New Roman"/>
          <w:b/>
          <w:sz w:val="24"/>
          <w:szCs w:val="24"/>
        </w:rPr>
        <w:t>INTRODUCTION:</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Biomedical waste management is a critical aspect of environmental health in health facilities. Improper handling and disposal of biomedical waste pose significant risks to human health, the environment, and the community. This report highlights the importance of environmental education on biomedical waste m</w:t>
      </w:r>
      <w:r w:rsidR="00AA629D" w:rsidRPr="00AA629D">
        <w:rPr>
          <w:rFonts w:ascii="Times New Roman" w:hAnsi="Times New Roman" w:cs="Times New Roman"/>
          <w:sz w:val="24"/>
          <w:szCs w:val="24"/>
        </w:rPr>
        <w:t>anagement in health facilities.</w:t>
      </w:r>
    </w:p>
    <w:p w:rsidR="004469E4" w:rsidRPr="00AA629D" w:rsidRDefault="00AA629D" w:rsidP="00AA629D">
      <w:pPr>
        <w:spacing w:line="480" w:lineRule="auto"/>
        <w:rPr>
          <w:rFonts w:ascii="Times New Roman" w:hAnsi="Times New Roman" w:cs="Times New Roman"/>
          <w:b/>
          <w:sz w:val="24"/>
          <w:szCs w:val="24"/>
        </w:rPr>
      </w:pPr>
      <w:r w:rsidRPr="00AA629D">
        <w:rPr>
          <w:rFonts w:ascii="Times New Roman" w:hAnsi="Times New Roman" w:cs="Times New Roman"/>
          <w:b/>
          <w:sz w:val="24"/>
          <w:szCs w:val="24"/>
        </w:rPr>
        <w:t>Objectives:</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1. To raise awareness among healthcare professionals on the importance of proper biomedical waste management.</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2. To educate healthcare professionals on the procedures for segregation, handling, and disposal of biomedical waste.</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 xml:space="preserve">3. To promote adherence to national and international regulations and guidelines </w:t>
      </w:r>
      <w:r w:rsidR="00AA629D" w:rsidRPr="00AA629D">
        <w:rPr>
          <w:rFonts w:ascii="Times New Roman" w:hAnsi="Times New Roman" w:cs="Times New Roman"/>
          <w:sz w:val="24"/>
          <w:szCs w:val="24"/>
        </w:rPr>
        <w:t>on biomedical waste management.</w:t>
      </w:r>
    </w:p>
    <w:p w:rsidR="004469E4" w:rsidRPr="00AA629D" w:rsidRDefault="00AA629D" w:rsidP="00AA629D">
      <w:pPr>
        <w:spacing w:line="480" w:lineRule="auto"/>
        <w:rPr>
          <w:rFonts w:ascii="Times New Roman" w:hAnsi="Times New Roman" w:cs="Times New Roman"/>
          <w:b/>
          <w:sz w:val="24"/>
          <w:szCs w:val="24"/>
        </w:rPr>
      </w:pPr>
      <w:r w:rsidRPr="00AA629D">
        <w:rPr>
          <w:rFonts w:ascii="Times New Roman" w:hAnsi="Times New Roman" w:cs="Times New Roman"/>
          <w:b/>
          <w:sz w:val="24"/>
          <w:szCs w:val="24"/>
        </w:rPr>
        <w:t>Methodology:</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A training program was conducted for healthcare professionals in</w:t>
      </w:r>
      <w:r w:rsidR="00AA629D" w:rsidRPr="00AA629D">
        <w:rPr>
          <w:rFonts w:ascii="Times New Roman" w:hAnsi="Times New Roman" w:cs="Times New Roman"/>
          <w:sz w:val="24"/>
          <w:szCs w:val="24"/>
        </w:rPr>
        <w:t xml:space="preserve"> a health facility, comprising:</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lastRenderedPageBreak/>
        <w:t>1. Lectures on biomedical waste management principles, regulations, and guidelines.</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2. Practical demonstrations on waste segregation, handling, and disposal.</w:t>
      </w:r>
    </w:p>
    <w:p w:rsidR="003061A1" w:rsidRPr="00203663"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3. Gro</w:t>
      </w:r>
      <w:r w:rsidR="00E4706F">
        <w:rPr>
          <w:rFonts w:ascii="Times New Roman" w:hAnsi="Times New Roman" w:cs="Times New Roman"/>
          <w:sz w:val="24"/>
          <w:szCs w:val="24"/>
        </w:rPr>
        <w:t xml:space="preserve">up discussions </w:t>
      </w:r>
    </w:p>
    <w:p w:rsidR="004469E4" w:rsidRPr="003061A1" w:rsidRDefault="004469E4" w:rsidP="00AA629D">
      <w:pPr>
        <w:spacing w:line="480" w:lineRule="auto"/>
        <w:rPr>
          <w:rFonts w:ascii="Times New Roman" w:hAnsi="Times New Roman" w:cs="Times New Roman"/>
          <w:b/>
          <w:sz w:val="24"/>
          <w:szCs w:val="24"/>
        </w:rPr>
      </w:pPr>
      <w:r w:rsidRPr="003061A1">
        <w:rPr>
          <w:rFonts w:ascii="Times New Roman" w:hAnsi="Times New Roman" w:cs="Times New Roman"/>
          <w:b/>
          <w:sz w:val="24"/>
          <w:szCs w:val="24"/>
        </w:rPr>
        <w:t>Key Topics Cove</w:t>
      </w:r>
      <w:r w:rsidR="00AA629D" w:rsidRPr="003061A1">
        <w:rPr>
          <w:rFonts w:ascii="Times New Roman" w:hAnsi="Times New Roman" w:cs="Times New Roman"/>
          <w:b/>
          <w:sz w:val="24"/>
          <w:szCs w:val="24"/>
        </w:rPr>
        <w:t>red:</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1. Definition and classification of biomedical waste.</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2. Risks associated with improper biomedical waste management.</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3. Segregation and categorization of biomedical waste (e.g., infectious, pathological, pharmaceutical).</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 xml:space="preserve">4. Handling and storage procedures (e.g., use of color-coded bins, </w:t>
      </w:r>
      <w:r w:rsidR="00AA629D" w:rsidRPr="00AA629D">
        <w:rPr>
          <w:rFonts w:ascii="Times New Roman" w:hAnsi="Times New Roman" w:cs="Times New Roman"/>
          <w:sz w:val="24"/>
          <w:szCs w:val="24"/>
        </w:rPr>
        <w:t>labelling</w:t>
      </w:r>
      <w:r w:rsidRPr="00AA629D">
        <w:rPr>
          <w:rFonts w:ascii="Times New Roman" w:hAnsi="Times New Roman" w:cs="Times New Roman"/>
          <w:sz w:val="24"/>
          <w:szCs w:val="24"/>
        </w:rPr>
        <w:t>).</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5. Disposal methods (e.g., incineration, autoclaving, landfill).</w:t>
      </w:r>
    </w:p>
    <w:p w:rsidR="003061A1" w:rsidRDefault="004469E4" w:rsidP="003061A1">
      <w:pPr>
        <w:spacing w:line="480" w:lineRule="auto"/>
      </w:pPr>
      <w:r w:rsidRPr="00AA629D">
        <w:rPr>
          <w:rFonts w:ascii="Times New Roman" w:hAnsi="Times New Roman" w:cs="Times New Roman"/>
          <w:sz w:val="24"/>
          <w:szCs w:val="24"/>
        </w:rPr>
        <w:t>6. Personal Protective Equipment (PPE) usage.</w:t>
      </w:r>
      <w:r w:rsidR="003061A1" w:rsidRPr="003061A1">
        <w:t xml:space="preserve"> </w:t>
      </w:r>
    </w:p>
    <w:p w:rsidR="003061A1" w:rsidRPr="003061A1" w:rsidRDefault="003061A1" w:rsidP="003061A1">
      <w:pPr>
        <w:spacing w:line="480" w:lineRule="auto"/>
        <w:rPr>
          <w:rFonts w:ascii="Times New Roman" w:hAnsi="Times New Roman" w:cs="Times New Roman"/>
          <w:sz w:val="24"/>
          <w:szCs w:val="24"/>
        </w:rPr>
      </w:pPr>
      <w:r>
        <w:t xml:space="preserve">7. </w:t>
      </w:r>
      <w:r w:rsidRPr="003061A1">
        <w:rPr>
          <w:rFonts w:ascii="Times New Roman" w:eastAsiaTheme="minorEastAsia" w:hAnsi="Times New Roman" w:cs="Times New Roman"/>
          <w:color w:val="000000" w:themeColor="text1"/>
          <w:kern w:val="24"/>
          <w:sz w:val="24"/>
          <w:szCs w:val="24"/>
        </w:rPr>
        <w:t>Hygiene facilities (showers, toilets, etc.)</w:t>
      </w:r>
    </w:p>
    <w:p w:rsidR="004469E4" w:rsidRPr="00AA629D" w:rsidRDefault="003061A1" w:rsidP="00AA629D">
      <w:pPr>
        <w:spacing w:line="480" w:lineRule="auto"/>
        <w:rPr>
          <w:rFonts w:ascii="Times New Roman" w:hAnsi="Times New Roman" w:cs="Times New Roman"/>
          <w:sz w:val="24"/>
          <w:szCs w:val="24"/>
        </w:rPr>
      </w:pPr>
      <w:r>
        <w:rPr>
          <w:rFonts w:ascii="Times New Roman" w:hAnsi="Times New Roman" w:cs="Times New Roman"/>
          <w:sz w:val="24"/>
          <w:szCs w:val="24"/>
        </w:rPr>
        <w:t>8</w:t>
      </w:r>
      <w:r w:rsidR="004469E4" w:rsidRPr="00AA629D">
        <w:rPr>
          <w:rFonts w:ascii="Times New Roman" w:hAnsi="Times New Roman" w:cs="Times New Roman"/>
          <w:sz w:val="24"/>
          <w:szCs w:val="24"/>
        </w:rPr>
        <w:t>. Emergency response proce</w:t>
      </w:r>
      <w:r>
        <w:rPr>
          <w:rFonts w:ascii="Times New Roman" w:hAnsi="Times New Roman" w:cs="Times New Roman"/>
          <w:sz w:val="24"/>
          <w:szCs w:val="24"/>
        </w:rPr>
        <w:t>dures for spills and accidents.</w:t>
      </w:r>
    </w:p>
    <w:p w:rsidR="004469E4" w:rsidRPr="003061A1" w:rsidRDefault="00AA629D" w:rsidP="00AA629D">
      <w:pPr>
        <w:spacing w:line="480" w:lineRule="auto"/>
        <w:rPr>
          <w:rFonts w:ascii="Times New Roman" w:hAnsi="Times New Roman" w:cs="Times New Roman"/>
          <w:b/>
          <w:sz w:val="24"/>
          <w:szCs w:val="24"/>
        </w:rPr>
      </w:pPr>
      <w:r w:rsidRPr="003061A1">
        <w:rPr>
          <w:rFonts w:ascii="Times New Roman" w:hAnsi="Times New Roman" w:cs="Times New Roman"/>
          <w:b/>
          <w:sz w:val="24"/>
          <w:szCs w:val="24"/>
        </w:rPr>
        <w:t>Conclusion:</w:t>
      </w:r>
    </w:p>
    <w:p w:rsidR="003061A1"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Environmental education on biomedical waste management is crucial for healthcare professionals. This training program demonstrated significant improvements in knowledge and adherence to proper waste management practices.</w:t>
      </w:r>
      <w:r w:rsidR="00AA629D" w:rsidRPr="00AA629D">
        <w:rPr>
          <w:rFonts w:ascii="Times New Roman" w:hAnsi="Times New Roman" w:cs="Times New Roman"/>
          <w:sz w:val="24"/>
          <w:szCs w:val="24"/>
        </w:rPr>
        <w:t xml:space="preserve"> </w:t>
      </w:r>
    </w:p>
    <w:p w:rsidR="00203663" w:rsidRDefault="00203663" w:rsidP="00AA629D">
      <w:pPr>
        <w:spacing w:line="480" w:lineRule="auto"/>
        <w:rPr>
          <w:rFonts w:ascii="Times New Roman" w:hAnsi="Times New Roman" w:cs="Times New Roman"/>
          <w:b/>
          <w:sz w:val="24"/>
          <w:szCs w:val="24"/>
        </w:rPr>
      </w:pPr>
    </w:p>
    <w:p w:rsidR="004469E4" w:rsidRPr="003061A1" w:rsidRDefault="00AA629D" w:rsidP="00AA629D">
      <w:pPr>
        <w:spacing w:line="480" w:lineRule="auto"/>
        <w:rPr>
          <w:rFonts w:ascii="Times New Roman" w:hAnsi="Times New Roman" w:cs="Times New Roman"/>
          <w:b/>
          <w:sz w:val="24"/>
          <w:szCs w:val="24"/>
        </w:rPr>
      </w:pPr>
      <w:bookmarkStart w:id="0" w:name="_GoBack"/>
      <w:bookmarkEnd w:id="0"/>
      <w:r w:rsidRPr="003061A1">
        <w:rPr>
          <w:rFonts w:ascii="Times New Roman" w:hAnsi="Times New Roman" w:cs="Times New Roman"/>
          <w:b/>
          <w:sz w:val="24"/>
          <w:szCs w:val="24"/>
        </w:rPr>
        <w:t>Recommendations:</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1. Regular training and refresher courses.</w:t>
      </w: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2. Contin</w:t>
      </w:r>
      <w:r w:rsidR="003061A1">
        <w:rPr>
          <w:rFonts w:ascii="Times New Roman" w:hAnsi="Times New Roman" w:cs="Times New Roman"/>
          <w:sz w:val="24"/>
          <w:szCs w:val="24"/>
        </w:rPr>
        <w:t>uous monitoring and evaluation.</w:t>
      </w:r>
    </w:p>
    <w:p w:rsidR="004469E4" w:rsidRPr="00AA629D" w:rsidRDefault="003061A1" w:rsidP="00AA629D">
      <w:pPr>
        <w:spacing w:line="480" w:lineRule="auto"/>
        <w:rPr>
          <w:rFonts w:ascii="Times New Roman" w:hAnsi="Times New Roman" w:cs="Times New Roman"/>
          <w:sz w:val="24"/>
          <w:szCs w:val="24"/>
        </w:rPr>
      </w:pPr>
      <w:r>
        <w:rPr>
          <w:rFonts w:ascii="Times New Roman" w:hAnsi="Times New Roman" w:cs="Times New Roman"/>
          <w:sz w:val="24"/>
          <w:szCs w:val="24"/>
        </w:rPr>
        <w:t>3</w:t>
      </w:r>
      <w:r w:rsidR="004469E4" w:rsidRPr="00AA629D">
        <w:rPr>
          <w:rFonts w:ascii="Times New Roman" w:hAnsi="Times New Roman" w:cs="Times New Roman"/>
          <w:sz w:val="24"/>
          <w:szCs w:val="24"/>
        </w:rPr>
        <w:t>. Collaboration with regulatory agencies.</w:t>
      </w:r>
    </w:p>
    <w:p w:rsidR="004469E4" w:rsidRPr="007859FE" w:rsidRDefault="007859FE" w:rsidP="00AA629D">
      <w:pPr>
        <w:spacing w:line="480" w:lineRule="auto"/>
        <w:rPr>
          <w:rFonts w:ascii="Times New Roman" w:hAnsi="Times New Roman" w:cs="Times New Roman"/>
          <w:b/>
          <w:sz w:val="24"/>
          <w:szCs w:val="24"/>
        </w:rPr>
      </w:pPr>
      <w:r w:rsidRPr="007859FE">
        <w:rPr>
          <w:rFonts w:ascii="Times New Roman" w:hAnsi="Times New Roman" w:cs="Times New Roman"/>
          <w:b/>
          <w:sz w:val="24"/>
          <w:szCs w:val="24"/>
        </w:rPr>
        <w:t>Appendices:</w:t>
      </w:r>
    </w:p>
    <w:p w:rsidR="007859FE" w:rsidRPr="007859FE" w:rsidRDefault="007859FE" w:rsidP="00AA629D">
      <w:pPr>
        <w:spacing w:line="480" w:lineRule="auto"/>
        <w:rPr>
          <w:rFonts w:ascii="Times New Roman" w:hAnsi="Times New Roman" w:cs="Times New Roman"/>
          <w:sz w:val="24"/>
          <w:szCs w:val="24"/>
        </w:rPr>
      </w:pPr>
      <w:r w:rsidRPr="007859FE">
        <w:rPr>
          <w:rFonts w:ascii="Times New Roman" w:hAnsi="Times New Roman" w:cs="Times New Roman"/>
          <w:noProof/>
          <w:sz w:val="24"/>
          <w:szCs w:val="24"/>
          <w:lang w:val="en-US"/>
        </w:rPr>
        <w:drawing>
          <wp:inline distT="0" distB="0" distL="0" distR="0">
            <wp:extent cx="5943600" cy="4448715"/>
            <wp:effectExtent l="0" t="0" r="0" b="9525"/>
            <wp:docPr id="1" name="Picture 1" descr="C:\Users\ENVIRONMENTAL HEALTH\Desktop\IMG-20240920-WA00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VIRONMENTAL HEALTH\Desktop\IMG-20240920-WA006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48715"/>
                    </a:xfrm>
                    <a:prstGeom prst="rect">
                      <a:avLst/>
                    </a:prstGeom>
                    <a:noFill/>
                    <a:ln>
                      <a:noFill/>
                    </a:ln>
                  </pic:spPr>
                </pic:pic>
              </a:graphicData>
            </a:graphic>
          </wp:inline>
        </w:drawing>
      </w:r>
      <w:r w:rsidRPr="007859FE">
        <w:rPr>
          <w:rFonts w:ascii="Times New Roman" w:hAnsi="Times New Roman" w:cs="Times New Roman"/>
          <w:b/>
          <w:i/>
        </w:rPr>
        <w:t>Section of participant</w:t>
      </w:r>
    </w:p>
    <w:p w:rsidR="007859FE" w:rsidRPr="007859FE" w:rsidRDefault="007859FE" w:rsidP="00AA629D">
      <w:pPr>
        <w:spacing w:line="480" w:lineRule="auto"/>
        <w:rPr>
          <w:rFonts w:ascii="Times New Roman" w:hAnsi="Times New Roman" w:cs="Times New Roman"/>
          <w:sz w:val="24"/>
          <w:szCs w:val="24"/>
        </w:rPr>
      </w:pPr>
      <w:r w:rsidRPr="007859FE">
        <w:rPr>
          <w:rFonts w:ascii="Times New Roman" w:hAnsi="Times New Roman" w:cs="Times New Roman"/>
          <w:noProof/>
          <w:sz w:val="24"/>
          <w:szCs w:val="24"/>
          <w:lang w:val="en-US"/>
        </w:rPr>
        <w:drawing>
          <wp:inline distT="0" distB="0" distL="0" distR="0">
            <wp:extent cx="5941862" cy="3587244"/>
            <wp:effectExtent l="0" t="0" r="1905" b="0"/>
            <wp:docPr id="2" name="Picture 2" descr="C:\Users\ENVIRONMENTAL HEALTH\Desktop\IMG-20240920-WA006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ENVIRONMENTAL HEALTH\Desktop\IMG-20240920-WA0063.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69846" cy="3604139"/>
                    </a:xfrm>
                    <a:prstGeom prst="rect">
                      <a:avLst/>
                    </a:prstGeom>
                    <a:noFill/>
                    <a:ln>
                      <a:noFill/>
                    </a:ln>
                  </pic:spPr>
                </pic:pic>
              </a:graphicData>
            </a:graphic>
          </wp:inline>
        </w:drawing>
      </w:r>
      <w:r w:rsidRPr="007859FE">
        <w:rPr>
          <w:rFonts w:ascii="Times New Roman" w:hAnsi="Times New Roman" w:cs="Times New Roman"/>
          <w:b/>
          <w:i/>
        </w:rPr>
        <w:t>E.P.A Facilitator taking participant through training</w:t>
      </w:r>
    </w:p>
    <w:p w:rsidR="007859FE" w:rsidRPr="007859FE" w:rsidRDefault="007859FE" w:rsidP="00AA629D">
      <w:pPr>
        <w:spacing w:line="480" w:lineRule="auto"/>
        <w:rPr>
          <w:rFonts w:ascii="Times New Roman" w:hAnsi="Times New Roman" w:cs="Times New Roman"/>
          <w:sz w:val="24"/>
          <w:szCs w:val="24"/>
        </w:rPr>
      </w:pPr>
      <w:r w:rsidRPr="007859FE">
        <w:rPr>
          <w:rFonts w:ascii="Times New Roman" w:hAnsi="Times New Roman" w:cs="Times New Roman"/>
          <w:noProof/>
          <w:sz w:val="24"/>
          <w:szCs w:val="24"/>
          <w:lang w:val="en-US"/>
        </w:rPr>
        <w:drawing>
          <wp:inline distT="0" distB="0" distL="0" distR="0">
            <wp:extent cx="5942879" cy="3378631"/>
            <wp:effectExtent l="0" t="0" r="1270" b="0"/>
            <wp:docPr id="3" name="Picture 3" descr="C:\Users\ENVIRONMENTAL HEALTH\Desktop\IMG-20240920-WA006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ENVIRONMENTAL HEALTH\Desktop\IMG-20240920-WA0060.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50899" cy="3383191"/>
                    </a:xfrm>
                    <a:prstGeom prst="rect">
                      <a:avLst/>
                    </a:prstGeom>
                    <a:noFill/>
                    <a:ln>
                      <a:noFill/>
                    </a:ln>
                  </pic:spPr>
                </pic:pic>
              </a:graphicData>
            </a:graphic>
          </wp:inline>
        </w:drawing>
      </w:r>
      <w:r w:rsidRPr="007859FE">
        <w:rPr>
          <w:rFonts w:ascii="Times New Roman" w:hAnsi="Times New Roman" w:cs="Times New Roman"/>
          <w:b/>
          <w:i/>
        </w:rPr>
        <w:t>E.H.O taking participants through proper handling/management of biomedical waste</w:t>
      </w:r>
    </w:p>
    <w:p w:rsidR="004469E4" w:rsidRPr="007859FE" w:rsidRDefault="007859FE" w:rsidP="00AA629D">
      <w:pPr>
        <w:spacing w:line="480" w:lineRule="auto"/>
        <w:rPr>
          <w:rFonts w:ascii="Times New Roman" w:hAnsi="Times New Roman" w:cs="Times New Roman"/>
          <w:sz w:val="24"/>
          <w:szCs w:val="24"/>
        </w:rPr>
      </w:pPr>
      <w:r w:rsidRPr="007859FE">
        <w:rPr>
          <w:rFonts w:ascii="Times New Roman" w:hAnsi="Times New Roman" w:cs="Times New Roman"/>
          <w:noProof/>
          <w:sz w:val="24"/>
          <w:szCs w:val="24"/>
          <w:lang w:val="en-US"/>
        </w:rPr>
        <w:drawing>
          <wp:inline distT="0" distB="0" distL="0" distR="0">
            <wp:extent cx="5942879" cy="3611105"/>
            <wp:effectExtent l="0" t="0" r="1270" b="8890"/>
            <wp:docPr id="4" name="Picture 4" descr="C:\Users\ENVIRONMENTAL HEALTH\Desktop\IMG-20240920-WA005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ENVIRONMENTAL HEALTH\Desktop\IMG-20240920-WA0059.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55775" cy="3618941"/>
                    </a:xfrm>
                    <a:prstGeom prst="rect">
                      <a:avLst/>
                    </a:prstGeom>
                    <a:noFill/>
                    <a:ln>
                      <a:noFill/>
                    </a:ln>
                  </pic:spPr>
                </pic:pic>
              </a:graphicData>
            </a:graphic>
          </wp:inline>
        </w:drawing>
      </w:r>
      <w:r w:rsidRPr="007859FE">
        <w:rPr>
          <w:rFonts w:ascii="Times New Roman" w:hAnsi="Times New Roman" w:cs="Times New Roman"/>
          <w:b/>
          <w:i/>
        </w:rPr>
        <w:t>E.H.O giving explanations to some slides</w:t>
      </w:r>
    </w:p>
    <w:p w:rsidR="007859FE" w:rsidRDefault="007859FE" w:rsidP="00AA629D">
      <w:pPr>
        <w:spacing w:line="480" w:lineRule="auto"/>
        <w:rPr>
          <w:rFonts w:ascii="Times New Roman" w:hAnsi="Times New Roman" w:cs="Times New Roman"/>
          <w:sz w:val="24"/>
          <w:szCs w:val="24"/>
        </w:rPr>
      </w:pPr>
    </w:p>
    <w:p w:rsidR="004469E4" w:rsidRPr="00AA629D" w:rsidRDefault="004469E4" w:rsidP="00AA629D">
      <w:pPr>
        <w:spacing w:line="480" w:lineRule="auto"/>
        <w:rPr>
          <w:rFonts w:ascii="Times New Roman" w:hAnsi="Times New Roman" w:cs="Times New Roman"/>
          <w:sz w:val="24"/>
          <w:szCs w:val="24"/>
        </w:rPr>
      </w:pPr>
      <w:r w:rsidRPr="00AA629D">
        <w:rPr>
          <w:rFonts w:ascii="Times New Roman" w:hAnsi="Times New Roman" w:cs="Times New Roman"/>
          <w:sz w:val="24"/>
          <w:szCs w:val="24"/>
        </w:rPr>
        <w:t>By prioritizing environmental education on biomedical waste management, health facilities can minimize environmental and health risks, ensuring a safer environment for patients, staff, and the community.</w:t>
      </w:r>
    </w:p>
    <w:p w:rsidR="004469E4" w:rsidRPr="00AA629D" w:rsidRDefault="004469E4" w:rsidP="00AA629D">
      <w:pPr>
        <w:spacing w:line="480" w:lineRule="auto"/>
        <w:rPr>
          <w:rFonts w:ascii="Times New Roman" w:hAnsi="Times New Roman" w:cs="Times New Roman"/>
          <w:sz w:val="24"/>
          <w:szCs w:val="24"/>
        </w:rPr>
      </w:pPr>
    </w:p>
    <w:p w:rsidR="00426A07" w:rsidRDefault="007859FE" w:rsidP="00AA629D">
      <w:pPr>
        <w:spacing w:line="480" w:lineRule="auto"/>
        <w:rPr>
          <w:rFonts w:ascii="Times New Roman" w:hAnsi="Times New Roman" w:cs="Times New Roman"/>
          <w:sz w:val="24"/>
          <w:szCs w:val="24"/>
        </w:rPr>
      </w:pPr>
      <w:r>
        <w:rPr>
          <w:rFonts w:ascii="Times New Roman" w:hAnsi="Times New Roman" w:cs="Times New Roman"/>
          <w:sz w:val="24"/>
          <w:szCs w:val="24"/>
        </w:rPr>
        <w:t>COMPILED BY:</w:t>
      </w:r>
    </w:p>
    <w:p w:rsidR="007859FE" w:rsidRDefault="007859FE" w:rsidP="00AA629D">
      <w:pPr>
        <w:spacing w:line="480" w:lineRule="auto"/>
        <w:rPr>
          <w:rFonts w:ascii="Times New Roman" w:hAnsi="Times New Roman" w:cs="Times New Roman"/>
          <w:sz w:val="24"/>
          <w:szCs w:val="24"/>
        </w:rPr>
      </w:pPr>
    </w:p>
    <w:p w:rsidR="007859FE" w:rsidRDefault="007859FE" w:rsidP="00AA629D">
      <w:pPr>
        <w:spacing w:line="480" w:lineRule="auto"/>
        <w:rPr>
          <w:rFonts w:ascii="Times New Roman" w:hAnsi="Times New Roman" w:cs="Times New Roman"/>
          <w:sz w:val="24"/>
          <w:szCs w:val="24"/>
        </w:rPr>
      </w:pPr>
      <w:r>
        <w:rPr>
          <w:rFonts w:ascii="Times New Roman" w:hAnsi="Times New Roman" w:cs="Times New Roman"/>
          <w:sz w:val="24"/>
          <w:szCs w:val="24"/>
        </w:rPr>
        <w:t>BRIDGET SEYRAM DIAPIM</w:t>
      </w:r>
    </w:p>
    <w:p w:rsidR="00131D3C" w:rsidRDefault="00131D3C" w:rsidP="00AA629D">
      <w:pPr>
        <w:spacing w:line="480" w:lineRule="auto"/>
        <w:rPr>
          <w:rFonts w:ascii="Times New Roman" w:hAnsi="Times New Roman" w:cs="Times New Roman"/>
          <w:sz w:val="24"/>
          <w:szCs w:val="24"/>
        </w:rPr>
      </w:pPr>
      <w:r>
        <w:rPr>
          <w:rFonts w:ascii="Times New Roman" w:hAnsi="Times New Roman" w:cs="Times New Roman"/>
          <w:sz w:val="24"/>
          <w:szCs w:val="24"/>
        </w:rPr>
        <w:t>(MUNICIPAL ENVIRONMENTAL HEALTH OFFICER)</w:t>
      </w:r>
    </w:p>
    <w:sectPr w:rsidR="00131D3C">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72D" w:rsidRDefault="0051172D" w:rsidP="00131D3C">
      <w:pPr>
        <w:spacing w:after="0" w:line="240" w:lineRule="auto"/>
      </w:pPr>
      <w:r>
        <w:separator/>
      </w:r>
    </w:p>
  </w:endnote>
  <w:endnote w:type="continuationSeparator" w:id="0">
    <w:p w:rsidR="0051172D" w:rsidRDefault="0051172D" w:rsidP="00131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5084682"/>
      <w:docPartObj>
        <w:docPartGallery w:val="Page Numbers (Bottom of Page)"/>
        <w:docPartUnique/>
      </w:docPartObj>
    </w:sdtPr>
    <w:sdtEndPr>
      <w:rPr>
        <w:noProof/>
      </w:rPr>
    </w:sdtEndPr>
    <w:sdtContent>
      <w:p w:rsidR="00131D3C" w:rsidRDefault="00131D3C">
        <w:pPr>
          <w:pStyle w:val="Footer"/>
          <w:jc w:val="center"/>
        </w:pPr>
        <w:r>
          <w:fldChar w:fldCharType="begin"/>
        </w:r>
        <w:r>
          <w:instrText xml:space="preserve"> PAGE   \* MERGEFORMAT </w:instrText>
        </w:r>
        <w:r>
          <w:fldChar w:fldCharType="separate"/>
        </w:r>
        <w:r w:rsidR="0051172D">
          <w:rPr>
            <w:noProof/>
          </w:rPr>
          <w:t>1</w:t>
        </w:r>
        <w:r>
          <w:rPr>
            <w:noProof/>
          </w:rPr>
          <w:fldChar w:fldCharType="end"/>
        </w:r>
      </w:p>
    </w:sdtContent>
  </w:sdt>
  <w:p w:rsidR="00131D3C" w:rsidRDefault="00131D3C">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72D" w:rsidRDefault="0051172D" w:rsidP="00131D3C">
      <w:pPr>
        <w:spacing w:after="0" w:line="240" w:lineRule="auto"/>
      </w:pPr>
      <w:r>
        <w:separator/>
      </w:r>
    </w:p>
  </w:footnote>
  <w:footnote w:type="continuationSeparator" w:id="0">
    <w:p w:rsidR="0051172D" w:rsidRDefault="0051172D" w:rsidP="00131D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39245F"/>
    <w:multiLevelType w:val="hybridMultilevel"/>
    <w:tmpl w:val="07E8A270"/>
    <w:lvl w:ilvl="0" w:tplc="199269D0">
      <w:start w:val="1"/>
      <w:numFmt w:val="bullet"/>
      <w:lvlText w:val="•"/>
      <w:lvlJc w:val="left"/>
      <w:pPr>
        <w:tabs>
          <w:tab w:val="num" w:pos="720"/>
        </w:tabs>
        <w:ind w:left="720" w:hanging="360"/>
      </w:pPr>
      <w:rPr>
        <w:rFonts w:ascii="Arial" w:hAnsi="Arial" w:hint="default"/>
      </w:rPr>
    </w:lvl>
    <w:lvl w:ilvl="1" w:tplc="D516406E" w:tentative="1">
      <w:start w:val="1"/>
      <w:numFmt w:val="bullet"/>
      <w:lvlText w:val="•"/>
      <w:lvlJc w:val="left"/>
      <w:pPr>
        <w:tabs>
          <w:tab w:val="num" w:pos="1440"/>
        </w:tabs>
        <w:ind w:left="1440" w:hanging="360"/>
      </w:pPr>
      <w:rPr>
        <w:rFonts w:ascii="Arial" w:hAnsi="Arial" w:hint="default"/>
      </w:rPr>
    </w:lvl>
    <w:lvl w:ilvl="2" w:tplc="164A6E08" w:tentative="1">
      <w:start w:val="1"/>
      <w:numFmt w:val="bullet"/>
      <w:lvlText w:val="•"/>
      <w:lvlJc w:val="left"/>
      <w:pPr>
        <w:tabs>
          <w:tab w:val="num" w:pos="2160"/>
        </w:tabs>
        <w:ind w:left="2160" w:hanging="360"/>
      </w:pPr>
      <w:rPr>
        <w:rFonts w:ascii="Arial" w:hAnsi="Arial" w:hint="default"/>
      </w:rPr>
    </w:lvl>
    <w:lvl w:ilvl="3" w:tplc="8FA88282" w:tentative="1">
      <w:start w:val="1"/>
      <w:numFmt w:val="bullet"/>
      <w:lvlText w:val="•"/>
      <w:lvlJc w:val="left"/>
      <w:pPr>
        <w:tabs>
          <w:tab w:val="num" w:pos="2880"/>
        </w:tabs>
        <w:ind w:left="2880" w:hanging="360"/>
      </w:pPr>
      <w:rPr>
        <w:rFonts w:ascii="Arial" w:hAnsi="Arial" w:hint="default"/>
      </w:rPr>
    </w:lvl>
    <w:lvl w:ilvl="4" w:tplc="2BE6A37C" w:tentative="1">
      <w:start w:val="1"/>
      <w:numFmt w:val="bullet"/>
      <w:lvlText w:val="•"/>
      <w:lvlJc w:val="left"/>
      <w:pPr>
        <w:tabs>
          <w:tab w:val="num" w:pos="3600"/>
        </w:tabs>
        <w:ind w:left="3600" w:hanging="360"/>
      </w:pPr>
      <w:rPr>
        <w:rFonts w:ascii="Arial" w:hAnsi="Arial" w:hint="default"/>
      </w:rPr>
    </w:lvl>
    <w:lvl w:ilvl="5" w:tplc="535662D4" w:tentative="1">
      <w:start w:val="1"/>
      <w:numFmt w:val="bullet"/>
      <w:lvlText w:val="•"/>
      <w:lvlJc w:val="left"/>
      <w:pPr>
        <w:tabs>
          <w:tab w:val="num" w:pos="4320"/>
        </w:tabs>
        <w:ind w:left="4320" w:hanging="360"/>
      </w:pPr>
      <w:rPr>
        <w:rFonts w:ascii="Arial" w:hAnsi="Arial" w:hint="default"/>
      </w:rPr>
    </w:lvl>
    <w:lvl w:ilvl="6" w:tplc="D2020C18" w:tentative="1">
      <w:start w:val="1"/>
      <w:numFmt w:val="bullet"/>
      <w:lvlText w:val="•"/>
      <w:lvlJc w:val="left"/>
      <w:pPr>
        <w:tabs>
          <w:tab w:val="num" w:pos="5040"/>
        </w:tabs>
        <w:ind w:left="5040" w:hanging="360"/>
      </w:pPr>
      <w:rPr>
        <w:rFonts w:ascii="Arial" w:hAnsi="Arial" w:hint="default"/>
      </w:rPr>
    </w:lvl>
    <w:lvl w:ilvl="7" w:tplc="7A00B5DC" w:tentative="1">
      <w:start w:val="1"/>
      <w:numFmt w:val="bullet"/>
      <w:lvlText w:val="•"/>
      <w:lvlJc w:val="left"/>
      <w:pPr>
        <w:tabs>
          <w:tab w:val="num" w:pos="5760"/>
        </w:tabs>
        <w:ind w:left="5760" w:hanging="360"/>
      </w:pPr>
      <w:rPr>
        <w:rFonts w:ascii="Arial" w:hAnsi="Arial" w:hint="default"/>
      </w:rPr>
    </w:lvl>
    <w:lvl w:ilvl="8" w:tplc="6B5E8DE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9E4"/>
    <w:rsid w:val="00131D3C"/>
    <w:rsid w:val="00203663"/>
    <w:rsid w:val="003061A1"/>
    <w:rsid w:val="00420CAC"/>
    <w:rsid w:val="00426A07"/>
    <w:rsid w:val="004469E4"/>
    <w:rsid w:val="0051172D"/>
    <w:rsid w:val="007859FE"/>
    <w:rsid w:val="00AA629D"/>
    <w:rsid w:val="00DA59A3"/>
    <w:rsid w:val="00E4706F"/>
    <w:rsid w:val="00F76E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A560A0"/>
  <w15:chartTrackingRefBased/>
  <w15:docId w15:val="{BF394D59-1F85-4C43-9F80-BD3734987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061A1"/>
    <w:pPr>
      <w:spacing w:after="0" w:line="240" w:lineRule="auto"/>
      <w:ind w:left="720"/>
      <w:contextualSpacing/>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131D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31D3C"/>
    <w:rPr>
      <w:lang w:val="en-GB"/>
    </w:rPr>
  </w:style>
  <w:style w:type="paragraph" w:styleId="Footer">
    <w:name w:val="footer"/>
    <w:basedOn w:val="Normal"/>
    <w:link w:val="FooterChar"/>
    <w:uiPriority w:val="99"/>
    <w:unhideWhenUsed/>
    <w:rsid w:val="00131D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31D3C"/>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72372626">
      <w:bodyDiv w:val="1"/>
      <w:marLeft w:val="0"/>
      <w:marRight w:val="0"/>
      <w:marTop w:val="0"/>
      <w:marBottom w:val="0"/>
      <w:divBdr>
        <w:top w:val="none" w:sz="0" w:space="0" w:color="auto"/>
        <w:left w:val="none" w:sz="0" w:space="0" w:color="auto"/>
        <w:bottom w:val="none" w:sz="0" w:space="0" w:color="auto"/>
        <w:right w:val="none" w:sz="0" w:space="0" w:color="auto"/>
      </w:divBdr>
      <w:divsChild>
        <w:div w:id="1085607476">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5</Pages>
  <Words>394</Words>
  <Characters>2247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ENVIRONMENTAL HEALTH</dc:creator>
  <cp:keywords/>
  <dc:description/>
  <cp:lastModifiedBy>ENVIRONMENTAL HEALTH</cp:lastModifiedBy>
  <cp:revision>11</cp:revision>
  <dcterms:created xsi:type="dcterms:W3CDTF">2024-09-20T22:37:00Z</dcterms:created>
  <dcterms:modified xsi:type="dcterms:W3CDTF">2024-09-23T15:06:00Z</dcterms:modified>
</cp:coreProperties>
</file>